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951" w:tblpY="31"/>
        <w:tblOverlap w:val="never"/>
        <w:tblW w:w="15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05"/>
        <w:gridCol w:w="1230"/>
        <w:gridCol w:w="1530"/>
        <w:gridCol w:w="1380"/>
        <w:gridCol w:w="1695"/>
        <w:gridCol w:w="1920"/>
        <w:gridCol w:w="2490"/>
        <w:gridCol w:w="111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320" w:type="dxa"/>
            <w:gridSpan w:val="10"/>
            <w:shd w:val="clear" w:color="auto" w:fill="2F5496" w:themeFill="accent5" w:themeFillShade="BF"/>
          </w:tcPr>
          <w:p>
            <w:pPr>
              <w:jc w:val="center"/>
              <w:rPr>
                <w:rFonts w:hint="eastAsia"/>
                <w:color w:val="FFFFFF" w:themeColor="background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color w:val="FFFFFF" w:themeColor="background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山东鑫宇龙化学新材料股份有限公司</w:t>
            </w:r>
          </w:p>
          <w:p>
            <w:pPr>
              <w:jc w:val="center"/>
              <w:rPr>
                <w:rFonts w:hint="eastAsia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FFFFFF" w:themeColor="background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危险废物污染防治责任信息公开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shd w:val="clear" w:color="auto" w:fill="FF0000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05" w:type="dxa"/>
            <w:shd w:val="clear" w:color="auto" w:fill="FF0000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30" w:type="dxa"/>
            <w:shd w:val="clear" w:color="auto" w:fill="FF0000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危险类别</w:t>
            </w:r>
          </w:p>
        </w:tc>
        <w:tc>
          <w:tcPr>
            <w:tcW w:w="1530" w:type="dxa"/>
            <w:shd w:val="clear" w:color="auto" w:fill="FF0000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1380" w:type="dxa"/>
            <w:shd w:val="clear" w:color="auto" w:fill="FF0000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物料形状</w:t>
            </w:r>
          </w:p>
        </w:tc>
        <w:tc>
          <w:tcPr>
            <w:tcW w:w="1695" w:type="dxa"/>
            <w:shd w:val="clear" w:color="auto" w:fill="FF0000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1920" w:type="dxa"/>
            <w:shd w:val="clear" w:color="auto" w:fill="FF0000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来源及产生工序</w:t>
            </w:r>
          </w:p>
        </w:tc>
        <w:tc>
          <w:tcPr>
            <w:tcW w:w="2490" w:type="dxa"/>
            <w:shd w:val="clear" w:color="auto" w:fill="FF0000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去向</w:t>
            </w:r>
          </w:p>
        </w:tc>
        <w:tc>
          <w:tcPr>
            <w:tcW w:w="1110" w:type="dxa"/>
            <w:shd w:val="clear" w:color="auto" w:fill="FF0000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605" w:type="dxa"/>
            <w:shd w:val="clear" w:color="auto" w:fill="FF0000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755" w:type="dxa"/>
            <w:shd w:val="clear" w:color="auto" w:fill="FFC000" w:themeFill="accent4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shd w:val="clear" w:color="auto" w:fill="FFC000" w:themeFill="accent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废催化剂</w:t>
            </w:r>
          </w:p>
        </w:tc>
        <w:tc>
          <w:tcPr>
            <w:tcW w:w="1230" w:type="dxa"/>
            <w:shd w:val="clear" w:color="auto" w:fill="FFC000" w:themeFill="accent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HW39</w:t>
            </w:r>
          </w:p>
        </w:tc>
        <w:tc>
          <w:tcPr>
            <w:tcW w:w="153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261-071-39</w:t>
            </w:r>
          </w:p>
        </w:tc>
        <w:tc>
          <w:tcPr>
            <w:tcW w:w="138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</w:rPr>
              <w:t>固态</w:t>
            </w:r>
          </w:p>
        </w:tc>
        <w:tc>
          <w:tcPr>
            <w:tcW w:w="1695" w:type="dxa"/>
            <w:shd w:val="clear" w:color="auto" w:fill="FFC000" w:themeFill="accent4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毒性</w:t>
            </w:r>
          </w:p>
        </w:tc>
        <w:tc>
          <w:tcPr>
            <w:tcW w:w="1920" w:type="dxa"/>
            <w:shd w:val="clear" w:color="auto" w:fill="FFC000" w:themeFill="accent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烷化工序</w:t>
            </w:r>
          </w:p>
        </w:tc>
        <w:tc>
          <w:tcPr>
            <w:tcW w:w="2490" w:type="dxa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委托有资质单位处置</w:t>
            </w:r>
          </w:p>
        </w:tc>
        <w:tc>
          <w:tcPr>
            <w:tcW w:w="1110" w:type="dxa"/>
            <w:vMerge w:val="restart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田建军</w:t>
            </w:r>
          </w:p>
        </w:tc>
        <w:tc>
          <w:tcPr>
            <w:tcW w:w="1605" w:type="dxa"/>
            <w:vMerge w:val="restart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15906364217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  <w:shd w:val="clear" w:color="auto" w:fill="FFC000" w:themeFill="accent4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shd w:val="clear" w:color="auto" w:fill="FFC000" w:themeFill="accent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精馏残渣</w:t>
            </w:r>
          </w:p>
        </w:tc>
        <w:tc>
          <w:tcPr>
            <w:tcW w:w="1230" w:type="dxa"/>
            <w:shd w:val="clear" w:color="auto" w:fill="FFC000" w:themeFill="accent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HW11</w:t>
            </w:r>
          </w:p>
        </w:tc>
        <w:tc>
          <w:tcPr>
            <w:tcW w:w="153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900-013-11</w:t>
            </w:r>
          </w:p>
        </w:tc>
        <w:tc>
          <w:tcPr>
            <w:tcW w:w="138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</w:rPr>
              <w:t>固态</w:t>
            </w:r>
          </w:p>
        </w:tc>
        <w:tc>
          <w:tcPr>
            <w:tcW w:w="1695" w:type="dxa"/>
            <w:shd w:val="clear" w:color="auto" w:fill="FFC000" w:themeFill="accent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毒性</w:t>
            </w:r>
          </w:p>
        </w:tc>
        <w:tc>
          <w:tcPr>
            <w:tcW w:w="1920" w:type="dxa"/>
            <w:shd w:val="clear" w:color="auto" w:fill="FFC000" w:themeFill="accent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精馏工序</w:t>
            </w:r>
          </w:p>
        </w:tc>
        <w:tc>
          <w:tcPr>
            <w:tcW w:w="2490" w:type="dxa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委托有资质单位处置</w:t>
            </w:r>
          </w:p>
        </w:tc>
        <w:tc>
          <w:tcPr>
            <w:tcW w:w="1110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  <w:shd w:val="clear" w:color="auto" w:fill="FFC000" w:themeFill="accent4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05" w:type="dxa"/>
            <w:shd w:val="clear" w:color="auto" w:fill="FFC000" w:themeFill="accent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精馏残夜</w:t>
            </w:r>
          </w:p>
        </w:tc>
        <w:tc>
          <w:tcPr>
            <w:tcW w:w="1230" w:type="dxa"/>
            <w:shd w:val="clear" w:color="auto" w:fill="FFC000" w:themeFill="accent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HW11</w:t>
            </w:r>
          </w:p>
        </w:tc>
        <w:tc>
          <w:tcPr>
            <w:tcW w:w="153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900-013-11</w:t>
            </w:r>
          </w:p>
        </w:tc>
        <w:tc>
          <w:tcPr>
            <w:tcW w:w="138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液态</w:t>
            </w:r>
          </w:p>
        </w:tc>
        <w:tc>
          <w:tcPr>
            <w:tcW w:w="1695" w:type="dxa"/>
            <w:shd w:val="clear" w:color="auto" w:fill="FFC000" w:themeFill="accent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毒性</w:t>
            </w:r>
          </w:p>
        </w:tc>
        <w:tc>
          <w:tcPr>
            <w:tcW w:w="1920" w:type="dxa"/>
            <w:shd w:val="clear" w:color="auto" w:fill="FFC000" w:themeFill="accent4"/>
          </w:tcPr>
          <w:p>
            <w:pPr>
              <w:ind w:firstLine="42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精馏工序</w:t>
            </w:r>
          </w:p>
        </w:tc>
        <w:tc>
          <w:tcPr>
            <w:tcW w:w="2490" w:type="dxa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委托有资质单位处置</w:t>
            </w:r>
          </w:p>
        </w:tc>
        <w:tc>
          <w:tcPr>
            <w:tcW w:w="1110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  <w:shd w:val="clear" w:color="auto" w:fill="FFC000" w:themeFill="accent4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05" w:type="dxa"/>
            <w:shd w:val="clear" w:color="auto" w:fill="FFC000" w:themeFill="accent4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废导热油</w:t>
            </w:r>
          </w:p>
        </w:tc>
        <w:tc>
          <w:tcPr>
            <w:tcW w:w="1230" w:type="dxa"/>
            <w:shd w:val="clear" w:color="auto" w:fill="FFC000" w:themeFill="accent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HW10</w:t>
            </w:r>
          </w:p>
        </w:tc>
        <w:tc>
          <w:tcPr>
            <w:tcW w:w="153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900-010-10</w:t>
            </w:r>
          </w:p>
        </w:tc>
        <w:tc>
          <w:tcPr>
            <w:tcW w:w="138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液态</w:t>
            </w:r>
          </w:p>
        </w:tc>
        <w:tc>
          <w:tcPr>
            <w:tcW w:w="1695" w:type="dxa"/>
            <w:shd w:val="clear" w:color="auto" w:fill="FFC000" w:themeFill="accent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毒性</w:t>
            </w:r>
          </w:p>
        </w:tc>
        <w:tc>
          <w:tcPr>
            <w:tcW w:w="1920" w:type="dxa"/>
            <w:shd w:val="clear" w:color="auto" w:fill="FFC000" w:themeFill="accent4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锅炉</w:t>
            </w:r>
          </w:p>
        </w:tc>
        <w:tc>
          <w:tcPr>
            <w:tcW w:w="2490" w:type="dxa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委托有资质单位处置</w:t>
            </w:r>
          </w:p>
        </w:tc>
        <w:tc>
          <w:tcPr>
            <w:tcW w:w="1110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55" w:type="dxa"/>
            <w:shd w:val="clear" w:color="auto" w:fill="FFC000" w:themeFill="accent4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05" w:type="dxa"/>
            <w:shd w:val="clear" w:color="auto" w:fill="FFC000" w:themeFill="accent4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沾染危险品的手套</w:t>
            </w:r>
          </w:p>
        </w:tc>
        <w:tc>
          <w:tcPr>
            <w:tcW w:w="1230" w:type="dxa"/>
            <w:shd w:val="clear" w:color="auto" w:fill="FFC000" w:themeFill="accent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HW49</w:t>
            </w:r>
          </w:p>
        </w:tc>
        <w:tc>
          <w:tcPr>
            <w:tcW w:w="153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900-041-49</w:t>
            </w:r>
          </w:p>
        </w:tc>
        <w:tc>
          <w:tcPr>
            <w:tcW w:w="138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固态</w:t>
            </w:r>
          </w:p>
        </w:tc>
        <w:tc>
          <w:tcPr>
            <w:tcW w:w="1695" w:type="dxa"/>
            <w:shd w:val="clear" w:color="auto" w:fill="FFC000" w:themeFill="accent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毒性</w:t>
            </w:r>
          </w:p>
        </w:tc>
        <w:tc>
          <w:tcPr>
            <w:tcW w:w="1920" w:type="dxa"/>
            <w:shd w:val="clear" w:color="auto" w:fill="FFC000" w:themeFill="accent4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生产过程</w:t>
            </w:r>
          </w:p>
        </w:tc>
        <w:tc>
          <w:tcPr>
            <w:tcW w:w="2490" w:type="dxa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委托有资质单位处置</w:t>
            </w:r>
          </w:p>
        </w:tc>
        <w:tc>
          <w:tcPr>
            <w:tcW w:w="1110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55" w:type="dxa"/>
            <w:shd w:val="clear" w:color="auto" w:fill="FFC000" w:themeFill="accent4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05" w:type="dxa"/>
            <w:shd w:val="clear" w:color="auto" w:fill="FFC000" w:themeFill="accent4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破损的废包装桶</w:t>
            </w:r>
          </w:p>
        </w:tc>
        <w:tc>
          <w:tcPr>
            <w:tcW w:w="1230" w:type="dxa"/>
            <w:shd w:val="clear" w:color="auto" w:fill="FFC000" w:themeFill="accent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HW49</w:t>
            </w:r>
          </w:p>
        </w:tc>
        <w:tc>
          <w:tcPr>
            <w:tcW w:w="153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900-041-49</w:t>
            </w:r>
          </w:p>
        </w:tc>
        <w:tc>
          <w:tcPr>
            <w:tcW w:w="1380" w:type="dxa"/>
            <w:shd w:val="clear" w:color="auto" w:fill="FFC000" w:themeFill="accent4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固态</w:t>
            </w:r>
          </w:p>
        </w:tc>
        <w:tc>
          <w:tcPr>
            <w:tcW w:w="1695" w:type="dxa"/>
            <w:shd w:val="clear" w:color="auto" w:fill="FFC000" w:themeFill="accent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毒性</w:t>
            </w:r>
          </w:p>
        </w:tc>
        <w:tc>
          <w:tcPr>
            <w:tcW w:w="1920" w:type="dxa"/>
            <w:shd w:val="clear" w:color="auto" w:fill="FFC000" w:themeFill="accent4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拆包装</w:t>
            </w:r>
          </w:p>
        </w:tc>
        <w:tc>
          <w:tcPr>
            <w:tcW w:w="2490" w:type="dxa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委托有资质单位处置</w:t>
            </w:r>
          </w:p>
        </w:tc>
        <w:tc>
          <w:tcPr>
            <w:tcW w:w="1110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55" w:type="dxa"/>
            <w:shd w:val="clear" w:color="auto" w:fill="FFC000" w:themeFill="accent4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05" w:type="dxa"/>
            <w:shd w:val="clear" w:color="auto" w:fill="FFC000" w:themeFill="accent4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盛装催化剂的内袋</w:t>
            </w:r>
          </w:p>
        </w:tc>
        <w:tc>
          <w:tcPr>
            <w:tcW w:w="1230" w:type="dxa"/>
            <w:shd w:val="clear" w:color="auto" w:fill="FFC000" w:themeFill="accent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HW49</w:t>
            </w:r>
          </w:p>
        </w:tc>
        <w:tc>
          <w:tcPr>
            <w:tcW w:w="153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900-041-49</w:t>
            </w:r>
          </w:p>
        </w:tc>
        <w:tc>
          <w:tcPr>
            <w:tcW w:w="1380" w:type="dxa"/>
            <w:shd w:val="clear" w:color="auto" w:fill="FFC000" w:themeFill="accent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固态</w:t>
            </w:r>
          </w:p>
        </w:tc>
        <w:tc>
          <w:tcPr>
            <w:tcW w:w="1695" w:type="dxa"/>
            <w:shd w:val="clear" w:color="auto" w:fill="FFC000" w:themeFill="accent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毒性</w:t>
            </w:r>
          </w:p>
        </w:tc>
        <w:tc>
          <w:tcPr>
            <w:tcW w:w="1920" w:type="dxa"/>
            <w:shd w:val="clear" w:color="auto" w:fill="FFC000" w:themeFill="accent4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拆包装</w:t>
            </w:r>
          </w:p>
        </w:tc>
        <w:tc>
          <w:tcPr>
            <w:tcW w:w="2490" w:type="dxa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委托有资质单位处置</w:t>
            </w:r>
          </w:p>
        </w:tc>
        <w:tc>
          <w:tcPr>
            <w:tcW w:w="1110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  <w:shd w:val="clear" w:color="auto" w:fill="FFC000" w:themeFill="accent4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5" w:type="dxa"/>
            <w:shd w:val="clear" w:color="auto" w:fill="FFC000" w:themeFill="accent4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废活性炭</w:t>
            </w:r>
          </w:p>
        </w:tc>
        <w:tc>
          <w:tcPr>
            <w:tcW w:w="1230" w:type="dxa"/>
            <w:shd w:val="clear" w:color="auto" w:fill="FFC000" w:themeFill="accent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HW49</w:t>
            </w:r>
          </w:p>
        </w:tc>
        <w:tc>
          <w:tcPr>
            <w:tcW w:w="153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900-039-49</w:t>
            </w:r>
          </w:p>
        </w:tc>
        <w:tc>
          <w:tcPr>
            <w:tcW w:w="1380" w:type="dxa"/>
            <w:shd w:val="clear" w:color="auto" w:fill="FFC000" w:themeFill="accent4"/>
            <w:vAlign w:val="center"/>
          </w:tcPr>
          <w:p>
            <w:pPr>
              <w:jc w:val="center"/>
              <w:rPr>
                <w:rFonts w:hint="eastAsia" w:ascii="Calibri" w:hAnsi="Calibr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固态</w:t>
            </w:r>
          </w:p>
        </w:tc>
        <w:tc>
          <w:tcPr>
            <w:tcW w:w="1695" w:type="dxa"/>
            <w:shd w:val="clear" w:color="auto" w:fill="FFC000" w:themeFill="accent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毒性</w:t>
            </w:r>
          </w:p>
        </w:tc>
        <w:tc>
          <w:tcPr>
            <w:tcW w:w="1920" w:type="dxa"/>
            <w:shd w:val="clear" w:color="auto" w:fill="FFC000" w:themeFill="accent4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废气处理装置</w:t>
            </w:r>
          </w:p>
        </w:tc>
        <w:tc>
          <w:tcPr>
            <w:tcW w:w="2490" w:type="dxa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委托有资质单位处置</w:t>
            </w:r>
          </w:p>
        </w:tc>
        <w:tc>
          <w:tcPr>
            <w:tcW w:w="1110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  <w:shd w:val="clear" w:color="auto" w:fill="FFC000" w:themeFill="accent4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05" w:type="dxa"/>
            <w:shd w:val="clear" w:color="auto" w:fill="FFC000" w:themeFill="accent4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废润滑油</w:t>
            </w:r>
          </w:p>
        </w:tc>
        <w:tc>
          <w:tcPr>
            <w:tcW w:w="1230" w:type="dxa"/>
            <w:shd w:val="clear" w:color="auto" w:fill="FFC000" w:themeFill="accent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HW08</w:t>
            </w:r>
          </w:p>
        </w:tc>
        <w:tc>
          <w:tcPr>
            <w:tcW w:w="1530" w:type="dxa"/>
            <w:shd w:val="clear" w:color="auto" w:fill="FFC000" w:themeFill="accent4"/>
            <w:vAlign w:val="center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900-214-08</w:t>
            </w:r>
          </w:p>
        </w:tc>
        <w:tc>
          <w:tcPr>
            <w:tcW w:w="1380" w:type="dxa"/>
            <w:shd w:val="clear" w:color="auto" w:fill="FFC000" w:themeFill="accent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液态</w:t>
            </w:r>
          </w:p>
        </w:tc>
        <w:tc>
          <w:tcPr>
            <w:tcW w:w="1695" w:type="dxa"/>
            <w:shd w:val="clear" w:color="auto" w:fill="FFC000" w:themeFill="accent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1920" w:type="dxa"/>
            <w:shd w:val="clear" w:color="auto" w:fill="FFC000" w:themeFill="accent4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设备维修保养</w:t>
            </w:r>
          </w:p>
        </w:tc>
        <w:tc>
          <w:tcPr>
            <w:tcW w:w="2490" w:type="dxa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委托有资质单位处置</w:t>
            </w:r>
          </w:p>
        </w:tc>
        <w:tc>
          <w:tcPr>
            <w:tcW w:w="1110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  <w:shd w:val="clear" w:color="auto" w:fill="FFC000" w:themeFill="accent4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05" w:type="dxa"/>
            <w:shd w:val="clear" w:color="auto" w:fill="FFC000" w:themeFill="accent4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废油桶</w:t>
            </w:r>
          </w:p>
        </w:tc>
        <w:tc>
          <w:tcPr>
            <w:tcW w:w="1230" w:type="dxa"/>
            <w:shd w:val="clear" w:color="auto" w:fill="FFC000" w:themeFill="accent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HW08</w:t>
            </w:r>
          </w:p>
        </w:tc>
        <w:tc>
          <w:tcPr>
            <w:tcW w:w="1530" w:type="dxa"/>
            <w:shd w:val="clear" w:color="auto" w:fill="FFC000" w:themeFill="accent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900-249-08</w:t>
            </w:r>
          </w:p>
        </w:tc>
        <w:tc>
          <w:tcPr>
            <w:tcW w:w="1380" w:type="dxa"/>
            <w:shd w:val="clear" w:color="auto" w:fill="FFC000" w:themeFill="accent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固态</w:t>
            </w:r>
          </w:p>
        </w:tc>
        <w:tc>
          <w:tcPr>
            <w:tcW w:w="1695" w:type="dxa"/>
            <w:shd w:val="clear" w:color="auto" w:fill="FFC000" w:themeFill="accent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1920" w:type="dxa"/>
            <w:shd w:val="clear" w:color="auto" w:fill="FFC000" w:themeFill="accent4"/>
          </w:tcPr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设备维修保养</w:t>
            </w:r>
          </w:p>
        </w:tc>
        <w:tc>
          <w:tcPr>
            <w:tcW w:w="2490" w:type="dxa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委托有资质单位处置</w:t>
            </w:r>
          </w:p>
        </w:tc>
        <w:tc>
          <w:tcPr>
            <w:tcW w:w="1110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shd w:val="clear" w:color="auto" w:fill="FFC000" w:themeFill="accent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590" w:type="dxa"/>
            <w:gridSpan w:val="3"/>
            <w:shd w:val="clear" w:color="auto" w:fill="FFC000" w:themeFill="accent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1、本年度委托处置企业名称</w:t>
            </w:r>
          </w:p>
        </w:tc>
        <w:tc>
          <w:tcPr>
            <w:tcW w:w="11730" w:type="dxa"/>
            <w:gridSpan w:val="7"/>
            <w:shd w:val="clear" w:color="auto" w:fill="FFC000" w:themeFill="accent4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1、光大绿色环保危废处置（临沭）有限公司；2、菏泽万清源环保科技有限公司  </w:t>
            </w:r>
          </w:p>
        </w:tc>
      </w:tr>
    </w:tbl>
    <w:p>
      <w:bookmarkStart w:id="0" w:name="_GoBack"/>
      <w:bookmarkEnd w:id="0"/>
    </w:p>
    <w:p/>
    <w:sectPr>
      <w:pgSz w:w="16838" w:h="11906" w:orient="landscape"/>
      <w:pgMar w:top="782" w:right="1440" w:bottom="782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OGYyY2Q1NTg0ZjU1MTRhYjcxN2JkMjFmMDViZTIifQ=="/>
  </w:docVars>
  <w:rsids>
    <w:rsidRoot w:val="46FF5417"/>
    <w:rsid w:val="46FF5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opLinePunct/>
      <w:ind w:firstLine="420" w:firstLineChars="200"/>
    </w:pPr>
    <w:rPr>
      <w:rFonts w:eastAsia="华文仿宋"/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样式 正文文本缩进 + 行距: 1.5 倍行距"/>
    <w:basedOn w:val="5"/>
    <w:next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  <w:sz w:val="24"/>
    </w:rPr>
  </w:style>
  <w:style w:type="paragraph" w:customStyle="1" w:styleId="5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内容"/>
    <w:basedOn w:val="1"/>
    <w:qFormat/>
    <w:uiPriority w:val="0"/>
    <w:pPr>
      <w:widowControl/>
      <w:jc w:val="center"/>
    </w:pPr>
    <w:rPr>
      <w:rFonts w:ascii="宋体" w:hAns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2023-03-10T00:13:00Z</dcterms:created>
  <dc:creator>田建军</dc:creator>
  <cp:lastModifiedBy>田建军</cp:lastModifiedBy>
  <dcterms:modified xsi:type="dcterms:W3CDTF">2023-03-10T00:25:19Z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03ABFB0B68A04474B05CEA676FA6B463</vt:lpwstr>
  </property>
</Properties>
</file>